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03240" w14:textId="57B2DE44" w:rsidR="009A1CCB" w:rsidRDefault="009A1CCB" w:rsidP="009A1CCB">
      <w:pPr>
        <w:outlineLvl w:val="0"/>
        <w:rPr>
          <w:rFonts w:ascii="Times" w:hAnsi="Times"/>
          <w:b/>
          <w:bCs/>
          <w:i/>
          <w:iCs/>
          <w:sz w:val="22"/>
          <w:szCs w:val="22"/>
        </w:rPr>
      </w:pPr>
      <w:r>
        <w:rPr>
          <w:rFonts w:ascii="Times" w:hAnsi="Times"/>
          <w:b/>
          <w:bCs/>
          <w:i/>
          <w:iCs/>
          <w:sz w:val="22"/>
          <w:szCs w:val="22"/>
        </w:rPr>
        <w:t>This is a summary version of the Syllabus for ‘</w:t>
      </w:r>
      <w:r>
        <w:rPr>
          <w:rFonts w:ascii="Times" w:hAnsi="Times"/>
          <w:b/>
          <w:bCs/>
          <w:i/>
          <w:iCs/>
          <w:sz w:val="22"/>
          <w:szCs w:val="22"/>
        </w:rPr>
        <w:t>Central Questions in Islamic law’</w:t>
      </w:r>
      <w:r>
        <w:rPr>
          <w:rFonts w:ascii="Times" w:hAnsi="Times"/>
          <w:b/>
          <w:bCs/>
          <w:i/>
          <w:iCs/>
          <w:sz w:val="22"/>
          <w:szCs w:val="22"/>
        </w:rPr>
        <w:t xml:space="preserve"> – a seminar that serves both as a requirement for students majoring in Middle Eastern, South Asian and African Studies (MESAAS), as well as an elective for Columbia College students. As the Teaching Assistant I was responsible for helping students work on their research paper, </w:t>
      </w:r>
      <w:r>
        <w:rPr>
          <w:rFonts w:ascii="Times" w:hAnsi="Times"/>
          <w:b/>
          <w:bCs/>
          <w:i/>
          <w:iCs/>
          <w:sz w:val="22"/>
          <w:szCs w:val="22"/>
        </w:rPr>
        <w:t xml:space="preserve">grading their response papers, and guiding them in preparing </w:t>
      </w:r>
      <w:r>
        <w:rPr>
          <w:rFonts w:ascii="Times" w:hAnsi="Times"/>
          <w:b/>
          <w:bCs/>
          <w:i/>
          <w:iCs/>
          <w:sz w:val="22"/>
          <w:szCs w:val="22"/>
        </w:rPr>
        <w:t>their class presentations and holding office hours.</w:t>
      </w:r>
      <w:r>
        <w:rPr>
          <w:rFonts w:ascii="Times" w:hAnsi="Times"/>
          <w:b/>
          <w:bCs/>
          <w:i/>
          <w:iCs/>
          <w:sz w:val="22"/>
          <w:szCs w:val="22"/>
        </w:rPr>
        <w:t xml:space="preserve"> In addition, I taught two class seminars on my own while occasionally participating throughout the semesters in other class sessions</w:t>
      </w:r>
    </w:p>
    <w:p w14:paraId="67AC8D3F" w14:textId="61B39A6D" w:rsidR="009A1CCB" w:rsidRDefault="009A1CCB" w:rsidP="009A1CCB">
      <w:pPr>
        <w:outlineLvl w:val="0"/>
        <w:rPr>
          <w:rFonts w:ascii="Times" w:hAnsi="Times"/>
          <w:b/>
          <w:bCs/>
          <w:i/>
          <w:iCs/>
          <w:sz w:val="22"/>
          <w:szCs w:val="22"/>
        </w:rPr>
      </w:pPr>
    </w:p>
    <w:p w14:paraId="4B4A3CD1" w14:textId="77777777" w:rsidR="009A1CCB" w:rsidRDefault="009A1CCB" w:rsidP="009A1CCB">
      <w:pPr>
        <w:autoSpaceDE w:val="0"/>
        <w:autoSpaceDN w:val="0"/>
        <w:adjustRightInd w:val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Central Questions in Islamic Law</w:t>
      </w:r>
    </w:p>
    <w:p w14:paraId="7A0C0A1E" w14:textId="77777777" w:rsidR="009A1CCB" w:rsidRDefault="009A1CCB" w:rsidP="009A1CCB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MDES W 3923-001</w:t>
      </w:r>
    </w:p>
    <w:p w14:paraId="3AED2C31" w14:textId="77777777" w:rsidR="009A1CCB" w:rsidRDefault="009A1CCB" w:rsidP="009A1CC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Spring 2018</w:t>
      </w:r>
    </w:p>
    <w:p w14:paraId="37C5210D" w14:textId="77777777" w:rsidR="009A1CCB" w:rsidRDefault="009A1CCB" w:rsidP="009A1CC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Meeting times: Tues. 4:10-6:00</w:t>
      </w:r>
    </w:p>
    <w:p w14:paraId="2091D3FB" w14:textId="77777777" w:rsidR="009A1CCB" w:rsidRDefault="009A1CCB" w:rsidP="009A1CCB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Place: Knox Hall</w:t>
      </w:r>
    </w:p>
    <w:p w14:paraId="157DF903" w14:textId="77777777" w:rsidR="009A1CCB" w:rsidRDefault="009A1CCB" w:rsidP="009A1CC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Instructor: Wael </w:t>
      </w:r>
      <w:proofErr w:type="spellStart"/>
      <w:r>
        <w:rPr>
          <w:color w:val="000000"/>
          <w:sz w:val="28"/>
          <w:szCs w:val="28"/>
        </w:rPr>
        <w:t>Hallaq</w:t>
      </w:r>
      <w:proofErr w:type="spellEnd"/>
    </w:p>
    <w:p w14:paraId="1CC69DBE" w14:textId="77777777" w:rsidR="009A1CCB" w:rsidRDefault="009A1CCB" w:rsidP="009A1CC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Office Hours: Monday 2:30-4:00 (By Prior Email Appointment)</w:t>
      </w:r>
    </w:p>
    <w:p w14:paraId="0A9E379A" w14:textId="77777777" w:rsidR="009A1CCB" w:rsidRDefault="009A1CCB" w:rsidP="009A1CCB">
      <w:pPr>
        <w:autoSpaceDE w:val="0"/>
        <w:autoSpaceDN w:val="0"/>
        <w:adjustRightInd w:val="0"/>
        <w:jc w:val="center"/>
        <w:rPr>
          <w:color w:val="0000FF"/>
          <w:sz w:val="28"/>
          <w:szCs w:val="28"/>
        </w:rPr>
      </w:pPr>
      <w:r>
        <w:rPr>
          <w:color w:val="000000"/>
          <w:sz w:val="28"/>
          <w:szCs w:val="28"/>
        </w:rPr>
        <w:t xml:space="preserve">E-mail: </w:t>
      </w:r>
      <w:r>
        <w:rPr>
          <w:color w:val="0000FF"/>
          <w:sz w:val="28"/>
          <w:szCs w:val="28"/>
        </w:rPr>
        <w:t>wh2223@columbia.edu</w:t>
      </w:r>
    </w:p>
    <w:p w14:paraId="72C7BD8C" w14:textId="77777777" w:rsidR="009A1CCB" w:rsidRDefault="009A1CCB" w:rsidP="009A1CC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Office: 515 Knox Hall</w:t>
      </w:r>
    </w:p>
    <w:p w14:paraId="73BFA34F" w14:textId="692D944A" w:rsidR="009A1CCB" w:rsidRDefault="009A1CCB" w:rsidP="009A1CC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TF: Karim Malak</w:t>
      </w:r>
    </w:p>
    <w:p w14:paraId="149EB95F" w14:textId="77777777" w:rsidR="009A1CCB" w:rsidRDefault="009A1CCB" w:rsidP="009A1CC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9E90CDB" w14:textId="77777777" w:rsidR="009A1CCB" w:rsidRDefault="009A1CCB" w:rsidP="009A1CC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  <w:sz w:val="28"/>
          <w:szCs w:val="28"/>
        </w:rPr>
        <w:t>Short Description</w:t>
      </w:r>
      <w:r>
        <w:rPr>
          <w:color w:val="000000"/>
        </w:rPr>
        <w:t>: Through detailed discussions of certain landmarks in Islamic</w:t>
      </w:r>
    </w:p>
    <w:p w14:paraId="1C9EEA7A" w14:textId="77777777" w:rsidR="009A1CCB" w:rsidRDefault="009A1CCB" w:rsidP="009A1CC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legal history (e.g., origins; early formation; sources of law; intellectual make-up; the</w:t>
      </w:r>
    </w:p>
    <w:p w14:paraId="179617A6" w14:textId="77777777" w:rsidR="009A1CCB" w:rsidRDefault="009A1CCB" w:rsidP="009A1CC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workings of court; legal change; women in the law; legal effects of colonialism;</w:t>
      </w:r>
    </w:p>
    <w:p w14:paraId="74160029" w14:textId="77777777" w:rsidR="009A1CCB" w:rsidRDefault="009A1CCB" w:rsidP="009A1CC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modernity and legal reform, etc.), the course aims at providing an introductory but</w:t>
      </w:r>
    </w:p>
    <w:p w14:paraId="0B112254" w14:textId="77777777" w:rsidR="009A1CCB" w:rsidRDefault="009A1CCB" w:rsidP="009A1CC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integrated view of Islamic law, from the seventh century to the present. Yet, it also</w:t>
      </w:r>
    </w:p>
    <w:p w14:paraId="4238410E" w14:textId="2B5EA6B1" w:rsidR="009A1CCB" w:rsidRPr="009A1CCB" w:rsidRDefault="009A1CCB" w:rsidP="009A1CCB">
      <w:pPr>
        <w:outlineLvl w:val="0"/>
        <w:rPr>
          <w:rFonts w:ascii="Times" w:hAnsi="Times"/>
          <w:b/>
          <w:bCs/>
          <w:sz w:val="22"/>
          <w:szCs w:val="22"/>
        </w:rPr>
      </w:pPr>
      <w:r>
        <w:rPr>
          <w:color w:val="000000"/>
        </w:rPr>
        <w:t>raises fundamental questions about modernity, culture, power systems, and the self.</w:t>
      </w:r>
    </w:p>
    <w:p w14:paraId="504CBC96" w14:textId="283A26DD" w:rsidR="009A1CCB" w:rsidRDefault="009A1CCB"/>
    <w:p w14:paraId="02B2EC14" w14:textId="77777777" w:rsidR="009A1CCB" w:rsidRDefault="009A1CCB" w:rsidP="009A1CCB">
      <w:pPr>
        <w:autoSpaceDE w:val="0"/>
        <w:autoSpaceDN w:val="0"/>
        <w:adjustRightInd w:val="0"/>
      </w:pPr>
      <w:r>
        <w:rPr>
          <w:sz w:val="28"/>
          <w:szCs w:val="28"/>
        </w:rPr>
        <w:t>Requirements</w:t>
      </w:r>
      <w:r>
        <w:t>: All students are expected to have read and digested the assigned</w:t>
      </w:r>
    </w:p>
    <w:p w14:paraId="25176680" w14:textId="77777777" w:rsidR="009A1CCB" w:rsidRDefault="009A1CCB" w:rsidP="009A1CCB">
      <w:pPr>
        <w:autoSpaceDE w:val="0"/>
        <w:autoSpaceDN w:val="0"/>
        <w:adjustRightInd w:val="0"/>
      </w:pPr>
      <w:r>
        <w:t>texts for each session. Without prior notice, they may be called upon to identify the</w:t>
      </w:r>
    </w:p>
    <w:p w14:paraId="0DC40EED" w14:textId="77777777" w:rsidR="009A1CCB" w:rsidRDefault="009A1CCB" w:rsidP="009A1CCB">
      <w:pPr>
        <w:autoSpaceDE w:val="0"/>
        <w:autoSpaceDN w:val="0"/>
        <w:adjustRightInd w:val="0"/>
      </w:pPr>
      <w:r>
        <w:t>main issues raised in each assigned reading, and to provide critique thereof. It is the</w:t>
      </w:r>
    </w:p>
    <w:p w14:paraId="357D5D16" w14:textId="77777777" w:rsidR="009A1CCB" w:rsidRDefault="009A1CCB" w:rsidP="009A1CCB">
      <w:pPr>
        <w:autoSpaceDE w:val="0"/>
        <w:autoSpaceDN w:val="0"/>
        <w:adjustRightInd w:val="0"/>
      </w:pPr>
      <w:r>
        <w:t>students’ duty and right to demonstrate, by means of voluntarily engaging in class</w:t>
      </w:r>
    </w:p>
    <w:p w14:paraId="2568D74E" w14:textId="77777777" w:rsidR="009A1CCB" w:rsidRDefault="009A1CCB" w:rsidP="009A1CCB">
      <w:pPr>
        <w:autoSpaceDE w:val="0"/>
        <w:autoSpaceDN w:val="0"/>
        <w:adjustRightInd w:val="0"/>
      </w:pPr>
      <w:r>
        <w:t>discussions, that they have read and understood the assigned materials.</w:t>
      </w:r>
    </w:p>
    <w:p w14:paraId="42189BA9" w14:textId="77777777" w:rsidR="009A1CCB" w:rsidRDefault="009A1CCB" w:rsidP="009A1CCB">
      <w:pPr>
        <w:autoSpaceDE w:val="0"/>
        <w:autoSpaceDN w:val="0"/>
        <w:adjustRightInd w:val="0"/>
      </w:pPr>
      <w:r>
        <w:t>Each week, three students will be assigned the week’s entire set of readings. They are to</w:t>
      </w:r>
    </w:p>
    <w:p w14:paraId="45187172" w14:textId="77777777" w:rsidR="009A1CCB" w:rsidRDefault="009A1CCB" w:rsidP="009A1CCB">
      <w:pPr>
        <w:autoSpaceDE w:val="0"/>
        <w:autoSpaceDN w:val="0"/>
        <w:adjustRightInd w:val="0"/>
      </w:pPr>
      <w:r>
        <w:t>submit a written response consisting of about a thousand words. Response must</w:t>
      </w:r>
    </w:p>
    <w:p w14:paraId="55C4EE17" w14:textId="77777777" w:rsidR="009A1CCB" w:rsidRDefault="009A1CCB" w:rsidP="009A1CCB">
      <w:pPr>
        <w:autoSpaceDE w:val="0"/>
        <w:autoSpaceDN w:val="0"/>
        <w:adjustRightInd w:val="0"/>
      </w:pPr>
      <w:r>
        <w:t>demonstrate critical analysis (not just summary) of the reading(s), accompanied by a</w:t>
      </w:r>
    </w:p>
    <w:p w14:paraId="7EEED3B9" w14:textId="77777777" w:rsidR="009A1CCB" w:rsidRDefault="009A1CCB" w:rsidP="009A1CCB">
      <w:pPr>
        <w:autoSpaceDE w:val="0"/>
        <w:autoSpaceDN w:val="0"/>
        <w:adjustRightInd w:val="0"/>
      </w:pPr>
      <w:r>
        <w:t>suggested itinerary of discussions involving the whole class. This latter requirement</w:t>
      </w:r>
    </w:p>
    <w:p w14:paraId="2B3D6B93" w14:textId="77777777" w:rsidR="009A1CCB" w:rsidRDefault="009A1CCB" w:rsidP="009A1CCB">
      <w:pPr>
        <w:autoSpaceDE w:val="0"/>
        <w:autoSpaceDN w:val="0"/>
        <w:adjustRightInd w:val="0"/>
      </w:pPr>
      <w:r>
        <w:t>means that a set of carefully formulated questions (no less than two) should be posed</w:t>
      </w:r>
    </w:p>
    <w:p w14:paraId="6E54BA8B" w14:textId="77777777" w:rsidR="009A1CCB" w:rsidRDefault="009A1CCB" w:rsidP="009A1CCB">
      <w:pPr>
        <w:autoSpaceDE w:val="0"/>
        <w:autoSpaceDN w:val="0"/>
        <w:adjustRightInd w:val="0"/>
      </w:pPr>
      <w:r>
        <w:t>with a view to generating meaningful discussion. In other words, the students making</w:t>
      </w:r>
    </w:p>
    <w:p w14:paraId="43856606" w14:textId="77777777" w:rsidR="009A1CCB" w:rsidRDefault="009A1CCB" w:rsidP="009A1CCB">
      <w:pPr>
        <w:autoSpaceDE w:val="0"/>
        <w:autoSpaceDN w:val="0"/>
        <w:adjustRightInd w:val="0"/>
      </w:pPr>
      <w:r>
        <w:t>the presentation will be the leaders of the discussion (assisted, as required, by the</w:t>
      </w:r>
    </w:p>
    <w:p w14:paraId="6FA7D403" w14:textId="77777777" w:rsidR="009A1CCB" w:rsidRDefault="009A1CCB" w:rsidP="009A1CCB">
      <w:pPr>
        <w:autoSpaceDE w:val="0"/>
        <w:autoSpaceDN w:val="0"/>
        <w:adjustRightInd w:val="0"/>
      </w:pPr>
      <w:r>
        <w:t>Professor). In class, each will make a three-minutes’ presentation of her or his response.</w:t>
      </w:r>
    </w:p>
    <w:p w14:paraId="147D5D25" w14:textId="77777777" w:rsidR="009A1CCB" w:rsidRDefault="009A1CCB" w:rsidP="009A1CCB">
      <w:pPr>
        <w:autoSpaceDE w:val="0"/>
        <w:autoSpaceDN w:val="0"/>
        <w:adjustRightInd w:val="0"/>
      </w:pPr>
      <w:r>
        <w:t>A fourth student, also presenting in class in less than five minutes, will act as a</w:t>
      </w:r>
    </w:p>
    <w:p w14:paraId="286B1734" w14:textId="77777777" w:rsidR="009A1CCB" w:rsidRDefault="009A1CCB" w:rsidP="009A1CCB">
      <w:pPr>
        <w:autoSpaceDE w:val="0"/>
        <w:autoSpaceDN w:val="0"/>
        <w:adjustRightInd w:val="0"/>
      </w:pPr>
      <w:r>
        <w:t>respondent, assessing the three responses (in terms of coverage, depth, thoroughness,</w:t>
      </w:r>
    </w:p>
    <w:p w14:paraId="2F65F9A9" w14:textId="77777777" w:rsidR="009A1CCB" w:rsidRDefault="009A1CCB" w:rsidP="009A1CCB">
      <w:pPr>
        <w:autoSpaceDE w:val="0"/>
        <w:autoSpaceDN w:val="0"/>
        <w:adjustRightInd w:val="0"/>
      </w:pPr>
      <w:r>
        <w:t>critical output, etc.). The three students must send their written analysis to the</w:t>
      </w:r>
    </w:p>
    <w:p w14:paraId="7627A514" w14:textId="77777777" w:rsidR="009A1CCB" w:rsidRDefault="009A1CCB" w:rsidP="009A1CCB">
      <w:pPr>
        <w:autoSpaceDE w:val="0"/>
        <w:autoSpaceDN w:val="0"/>
        <w:adjustRightInd w:val="0"/>
      </w:pPr>
      <w:r>
        <w:t>respondent, as well as to professor and TF, no later than noon the day before the class.</w:t>
      </w:r>
    </w:p>
    <w:p w14:paraId="69F4E48D" w14:textId="77777777" w:rsidR="009A1CCB" w:rsidRDefault="009A1CCB" w:rsidP="009A1CCB">
      <w:pPr>
        <w:autoSpaceDE w:val="0"/>
        <w:autoSpaceDN w:val="0"/>
        <w:adjustRightInd w:val="0"/>
      </w:pPr>
      <w:r>
        <w:t>Failure to comply with this requirement and deadline will diminish the total grade by 5%.</w:t>
      </w:r>
    </w:p>
    <w:p w14:paraId="72F0F1D3" w14:textId="77777777" w:rsidR="009A1CCB" w:rsidRDefault="009A1CCB" w:rsidP="009A1CCB">
      <w:pPr>
        <w:autoSpaceDE w:val="0"/>
        <w:autoSpaceDN w:val="0"/>
        <w:adjustRightInd w:val="0"/>
      </w:pPr>
      <w:r>
        <w:t>Students must also write a research paper not exceeding 3000 words, to be submitted –</w:t>
      </w:r>
    </w:p>
    <w:p w14:paraId="207A2E7B" w14:textId="77777777" w:rsidR="009A1CCB" w:rsidRDefault="009A1CCB" w:rsidP="009A1CCB">
      <w:pPr>
        <w:autoSpaceDE w:val="0"/>
        <w:autoSpaceDN w:val="0"/>
        <w:adjustRightInd w:val="0"/>
      </w:pPr>
      <w:r>
        <w:lastRenderedPageBreak/>
        <w:t>again, to both of us, on our Columbia emails -- no later than May 1st, midnight. Topic,</w:t>
      </w:r>
    </w:p>
    <w:p w14:paraId="1B2CE4BD" w14:textId="70079870" w:rsidR="009A1CCB" w:rsidRDefault="009A1CCB" w:rsidP="009A1CCB">
      <w:pPr>
        <w:autoSpaceDE w:val="0"/>
        <w:autoSpaceDN w:val="0"/>
        <w:adjustRightInd w:val="0"/>
      </w:pPr>
      <w:r>
        <w:t>general outline of an argument, and some 6-8 bibliographical sources must be ready by</w:t>
      </w:r>
    </w:p>
    <w:p w14:paraId="244FF9C2" w14:textId="77777777" w:rsidR="009A1CCB" w:rsidRDefault="009A1CCB" w:rsidP="009A1CCB">
      <w:pPr>
        <w:autoSpaceDE w:val="0"/>
        <w:autoSpaceDN w:val="0"/>
        <w:adjustRightInd w:val="0"/>
      </w:pPr>
      <w:r>
        <w:t>January 30th, by which date students must submit to TF a two-page statement, in</w:t>
      </w:r>
    </w:p>
    <w:p w14:paraId="2B2D4BD0" w14:textId="77777777" w:rsidR="009A1CCB" w:rsidRDefault="009A1CCB" w:rsidP="009A1CCB">
      <w:pPr>
        <w:autoSpaceDE w:val="0"/>
        <w:autoSpaceDN w:val="0"/>
        <w:adjustRightInd w:val="0"/>
      </w:pPr>
      <w:r>
        <w:t>addition to 10-15 bibliographical sources, outlining contents of their prospective paper.</w:t>
      </w:r>
    </w:p>
    <w:p w14:paraId="03C23738" w14:textId="77777777" w:rsidR="009A1CCB" w:rsidRDefault="009A1CCB" w:rsidP="009A1CCB">
      <w:pPr>
        <w:autoSpaceDE w:val="0"/>
        <w:autoSpaceDN w:val="0"/>
        <w:adjustRightInd w:val="0"/>
      </w:pPr>
      <w:r>
        <w:t>Failure to do so will diminish total grade by 5%. Finally, students must write an exam in</w:t>
      </w:r>
    </w:p>
    <w:p w14:paraId="4CCD0BDA" w14:textId="77777777" w:rsidR="009A1CCB" w:rsidRDefault="009A1CCB" w:rsidP="009A1CCB">
      <w:pPr>
        <w:autoSpaceDE w:val="0"/>
        <w:autoSpaceDN w:val="0"/>
        <w:adjustRightInd w:val="0"/>
      </w:pPr>
      <w:r>
        <w:t>which eight out of ten concepts, institutions, persons, events, etc., are analytically</w:t>
      </w:r>
    </w:p>
    <w:p w14:paraId="714C7FFC" w14:textId="11F35161" w:rsidR="009A1CCB" w:rsidRDefault="009A1CCB" w:rsidP="009A1CCB">
      <w:pPr>
        <w:autoSpaceDE w:val="0"/>
        <w:autoSpaceDN w:val="0"/>
        <w:adjustRightInd w:val="0"/>
      </w:pPr>
      <w:r>
        <w:t xml:space="preserve">identified (in </w:t>
      </w:r>
      <w:proofErr w:type="gramStart"/>
      <w:r>
        <w:t>70-100 word</w:t>
      </w:r>
      <w:proofErr w:type="gramEnd"/>
      <w:r>
        <w:t xml:space="preserve"> statements).</w:t>
      </w:r>
    </w:p>
    <w:p w14:paraId="3E85BA0C" w14:textId="77777777" w:rsidR="009A1CCB" w:rsidRDefault="009A1CCB" w:rsidP="009A1CCB">
      <w:pPr>
        <w:autoSpaceDE w:val="0"/>
        <w:autoSpaceDN w:val="0"/>
        <w:adjustRightInd w:val="0"/>
      </w:pPr>
    </w:p>
    <w:p w14:paraId="1ED6E5ED" w14:textId="2B3F46F6" w:rsidR="009A1CCB" w:rsidRDefault="009A1CCB" w:rsidP="009A1CCB">
      <w:pPr>
        <w:autoSpaceDE w:val="0"/>
        <w:autoSpaceDN w:val="0"/>
        <w:adjustRightInd w:val="0"/>
      </w:pPr>
      <w:r>
        <w:t>Missing a class without documented proof will diminish the total grade by 5%.</w:t>
      </w:r>
    </w:p>
    <w:p w14:paraId="359214B9" w14:textId="77777777" w:rsidR="009A1CCB" w:rsidRDefault="009A1CCB" w:rsidP="009A1CCB">
      <w:pPr>
        <w:autoSpaceDE w:val="0"/>
        <w:autoSpaceDN w:val="0"/>
        <w:adjustRightInd w:val="0"/>
      </w:pPr>
    </w:p>
    <w:p w14:paraId="353F86D8" w14:textId="77777777" w:rsidR="009A1CCB" w:rsidRDefault="009A1CCB" w:rsidP="009A1CCB">
      <w:pPr>
        <w:autoSpaceDE w:val="0"/>
        <w:autoSpaceDN w:val="0"/>
        <w:adjustRightInd w:val="0"/>
      </w:pPr>
      <w:r>
        <w:t>Weekly Readings: You should think of your weekly response along the lines of serious</w:t>
      </w:r>
    </w:p>
    <w:p w14:paraId="6124ECD3" w14:textId="77777777" w:rsidR="009A1CCB" w:rsidRDefault="009A1CCB" w:rsidP="009A1CCB">
      <w:pPr>
        <w:autoSpaceDE w:val="0"/>
        <w:autoSpaceDN w:val="0"/>
        <w:adjustRightInd w:val="0"/>
      </w:pPr>
      <w:r>
        <w:t>book reviews: i.e., to capture the contents of assigned readings while offering a</w:t>
      </w:r>
    </w:p>
    <w:p w14:paraId="609E4B1E" w14:textId="4031D061" w:rsidR="009A1CCB" w:rsidRDefault="009A1CCB" w:rsidP="009A1CCB">
      <w:pPr>
        <w:autoSpaceDE w:val="0"/>
        <w:autoSpaceDN w:val="0"/>
        <w:adjustRightInd w:val="0"/>
      </w:pPr>
      <w:r>
        <w:t>meaningful and engaged analysis and critique.</w:t>
      </w:r>
    </w:p>
    <w:p w14:paraId="5213E48A" w14:textId="77777777" w:rsidR="009A1CCB" w:rsidRDefault="009A1CCB" w:rsidP="009A1CCB">
      <w:pPr>
        <w:autoSpaceDE w:val="0"/>
        <w:autoSpaceDN w:val="0"/>
        <w:adjustRightInd w:val="0"/>
      </w:pPr>
    </w:p>
    <w:p w14:paraId="33B4B064" w14:textId="77777777" w:rsidR="009A1CCB" w:rsidRDefault="009A1CCB" w:rsidP="009A1CCB">
      <w:pPr>
        <w:autoSpaceDE w:val="0"/>
        <w:autoSpaceDN w:val="0"/>
        <w:adjustRightInd w:val="0"/>
      </w:pPr>
      <w:r>
        <w:t>The materials that have been included in this syllabus are the absolute minimum.</w:t>
      </w:r>
    </w:p>
    <w:p w14:paraId="35DFB4C9" w14:textId="77777777" w:rsidR="009A1CCB" w:rsidRDefault="009A1CCB" w:rsidP="009A1CCB">
      <w:pPr>
        <w:autoSpaceDE w:val="0"/>
        <w:autoSpaceDN w:val="0"/>
        <w:adjustRightInd w:val="0"/>
      </w:pPr>
      <w:r>
        <w:t>Therefore, you are required to read the selected texts very closely, in their entirety and</w:t>
      </w:r>
    </w:p>
    <w:p w14:paraId="62274F4B" w14:textId="77777777" w:rsidR="009A1CCB" w:rsidRDefault="009A1CCB" w:rsidP="009A1CCB">
      <w:pPr>
        <w:autoSpaceDE w:val="0"/>
        <w:autoSpaceDN w:val="0"/>
        <w:adjustRightInd w:val="0"/>
      </w:pPr>
      <w:r>
        <w:t>thoughtfully. Skimming is not an option. Should you feel the need to pursue certain</w:t>
      </w:r>
    </w:p>
    <w:p w14:paraId="1919ED01" w14:textId="77777777" w:rsidR="009A1CCB" w:rsidRDefault="009A1CCB" w:rsidP="009A1CCB">
      <w:pPr>
        <w:autoSpaceDE w:val="0"/>
        <w:autoSpaceDN w:val="0"/>
        <w:adjustRightInd w:val="0"/>
      </w:pPr>
      <w:r>
        <w:t>themes beyond the syllabus readings, you are encouraged to consult the professor after</w:t>
      </w:r>
    </w:p>
    <w:p w14:paraId="12A60367" w14:textId="60337106" w:rsidR="009A1CCB" w:rsidRDefault="009A1CCB" w:rsidP="009A1CCB">
      <w:pPr>
        <w:autoSpaceDE w:val="0"/>
        <w:autoSpaceDN w:val="0"/>
        <w:adjustRightInd w:val="0"/>
      </w:pPr>
      <w:r>
        <w:t>class or in office hours (or, if relevant, in class).</w:t>
      </w:r>
    </w:p>
    <w:p w14:paraId="3083ECCA" w14:textId="77777777" w:rsidR="009A1CCB" w:rsidRDefault="009A1CCB" w:rsidP="009A1CCB">
      <w:pPr>
        <w:autoSpaceDE w:val="0"/>
        <w:autoSpaceDN w:val="0"/>
        <w:adjustRightInd w:val="0"/>
      </w:pPr>
    </w:p>
    <w:p w14:paraId="05DD3733" w14:textId="77777777" w:rsidR="009A1CCB" w:rsidRDefault="009A1CCB" w:rsidP="009A1CCB">
      <w:pPr>
        <w:autoSpaceDE w:val="0"/>
        <w:autoSpaceDN w:val="0"/>
        <w:adjustRightInd w:val="0"/>
      </w:pPr>
      <w:r>
        <w:rPr>
          <w:sz w:val="28"/>
          <w:szCs w:val="28"/>
        </w:rPr>
        <w:t>Grading System</w:t>
      </w:r>
      <w:r>
        <w:t>: (</w:t>
      </w:r>
      <w:proofErr w:type="spellStart"/>
      <w:r>
        <w:t>i</w:t>
      </w:r>
      <w:proofErr w:type="spellEnd"/>
      <w:r>
        <w:t>) Attendance 20%;</w:t>
      </w:r>
    </w:p>
    <w:p w14:paraId="129B5C86" w14:textId="77777777" w:rsidR="009A1CCB" w:rsidRDefault="009A1CCB" w:rsidP="009A1CCB">
      <w:pPr>
        <w:autoSpaceDE w:val="0"/>
        <w:autoSpaceDN w:val="0"/>
        <w:adjustRightInd w:val="0"/>
      </w:pPr>
      <w:r>
        <w:t>(ii) Participation and contribution to class discussions 20%;</w:t>
      </w:r>
    </w:p>
    <w:p w14:paraId="6D392E9C" w14:textId="77777777" w:rsidR="009A1CCB" w:rsidRDefault="009A1CCB" w:rsidP="009A1CCB">
      <w:pPr>
        <w:autoSpaceDE w:val="0"/>
        <w:autoSpaceDN w:val="0"/>
        <w:adjustRightInd w:val="0"/>
      </w:pPr>
      <w:r>
        <w:t>(iii) Written responses 10%;</w:t>
      </w:r>
    </w:p>
    <w:p w14:paraId="45BDFDC6" w14:textId="77777777" w:rsidR="009A1CCB" w:rsidRDefault="009A1CCB" w:rsidP="009A1CCB">
      <w:pPr>
        <w:autoSpaceDE w:val="0"/>
        <w:autoSpaceDN w:val="0"/>
        <w:adjustRightInd w:val="0"/>
      </w:pPr>
      <w:r>
        <w:t>(v) Research paper 25%;</w:t>
      </w:r>
    </w:p>
    <w:p w14:paraId="59F1AC59" w14:textId="6E6FFAAB" w:rsidR="009A1CCB" w:rsidRDefault="009A1CCB" w:rsidP="009A1CCB">
      <w:r>
        <w:t>(vi) Exam 25%.</w:t>
      </w:r>
    </w:p>
    <w:p w14:paraId="58F0673C" w14:textId="19B53F0B" w:rsidR="009A1CCB" w:rsidRDefault="009A1CCB" w:rsidP="009A1CCB"/>
    <w:p w14:paraId="2055BEDE" w14:textId="77777777" w:rsidR="009A1CCB" w:rsidRDefault="009A1CCB" w:rsidP="009A1CCB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Weekly Readings:</w:t>
      </w:r>
    </w:p>
    <w:p w14:paraId="14881056" w14:textId="70BF45BB" w:rsidR="009A1CCB" w:rsidRDefault="009A1CCB" w:rsidP="009A1CCB">
      <w:pPr>
        <w:autoSpaceDE w:val="0"/>
        <w:autoSpaceDN w:val="0"/>
        <w:adjustRightInd w:val="0"/>
      </w:pPr>
      <w:r>
        <w:t>Week 1 (Jan. 16): Orientation, nature of course, general introduction, etc.</w:t>
      </w:r>
    </w:p>
    <w:p w14:paraId="74E313E9" w14:textId="77777777" w:rsidR="009A1CCB" w:rsidRDefault="009A1CCB" w:rsidP="009A1CCB">
      <w:pPr>
        <w:autoSpaceDE w:val="0"/>
        <w:autoSpaceDN w:val="0"/>
        <w:adjustRightInd w:val="0"/>
      </w:pPr>
    </w:p>
    <w:p w14:paraId="42E763DF" w14:textId="77777777" w:rsidR="009A1CCB" w:rsidRDefault="009A1CCB" w:rsidP="009A1CCB">
      <w:pPr>
        <w:autoSpaceDE w:val="0"/>
        <w:autoSpaceDN w:val="0"/>
        <w:adjustRightInd w:val="0"/>
      </w:pPr>
      <w:r>
        <w:t>Week 2 (Jan. 23): The Question of Origins</w:t>
      </w:r>
    </w:p>
    <w:p w14:paraId="41EF376E" w14:textId="77777777" w:rsidR="009A1CCB" w:rsidRDefault="009A1CCB" w:rsidP="009A1CCB">
      <w:pPr>
        <w:autoSpaceDE w:val="0"/>
        <w:autoSpaceDN w:val="0"/>
        <w:adjustRightInd w:val="0"/>
      </w:pPr>
      <w:r>
        <w:t>a. Joseph Schacht, “Foreign Elements in Ancient Islamic Law,” in The Formation of</w:t>
      </w:r>
    </w:p>
    <w:p w14:paraId="112E5380" w14:textId="77777777" w:rsidR="009A1CCB" w:rsidRDefault="009A1CCB" w:rsidP="009A1CCB">
      <w:pPr>
        <w:autoSpaceDE w:val="0"/>
        <w:autoSpaceDN w:val="0"/>
        <w:adjustRightInd w:val="0"/>
      </w:pPr>
      <w:r>
        <w:t xml:space="preserve">Islamic Law, ed. Wael B. </w:t>
      </w:r>
      <w:proofErr w:type="spellStart"/>
      <w:r>
        <w:t>Hallaq</w:t>
      </w:r>
      <w:proofErr w:type="spellEnd"/>
      <w:r>
        <w:t>, vol. 27, The Formation of the Classical Islamic</w:t>
      </w:r>
    </w:p>
    <w:p w14:paraId="3946157D" w14:textId="77777777" w:rsidR="009A1CCB" w:rsidRDefault="009A1CCB" w:rsidP="009A1CCB">
      <w:pPr>
        <w:autoSpaceDE w:val="0"/>
        <w:autoSpaceDN w:val="0"/>
        <w:adjustRightInd w:val="0"/>
      </w:pPr>
      <w:r>
        <w:t>World (Ashgate, 2004), 59-67.</w:t>
      </w:r>
    </w:p>
    <w:p w14:paraId="50B33AE5" w14:textId="77777777" w:rsidR="009A1CCB" w:rsidRDefault="009A1CCB" w:rsidP="009A1CCB">
      <w:pPr>
        <w:autoSpaceDE w:val="0"/>
        <w:autoSpaceDN w:val="0"/>
        <w:adjustRightInd w:val="0"/>
      </w:pPr>
      <w:r>
        <w:t>b. Schacht, “Pre-Islamic Background and Early Development of Jurisprudence,” in</w:t>
      </w:r>
    </w:p>
    <w:p w14:paraId="06E73EE8" w14:textId="77777777" w:rsidR="009A1CCB" w:rsidRDefault="009A1CCB" w:rsidP="009A1CCB">
      <w:pPr>
        <w:autoSpaceDE w:val="0"/>
        <w:autoSpaceDN w:val="0"/>
        <w:adjustRightInd w:val="0"/>
      </w:pPr>
      <w:r>
        <w:t xml:space="preserve">M. </w:t>
      </w:r>
      <w:proofErr w:type="spellStart"/>
      <w:r>
        <w:t>Khadduri</w:t>
      </w:r>
      <w:proofErr w:type="spellEnd"/>
      <w:r>
        <w:t xml:space="preserve"> and H. </w:t>
      </w:r>
      <w:proofErr w:type="spellStart"/>
      <w:r>
        <w:t>Liebesny</w:t>
      </w:r>
      <w:proofErr w:type="spellEnd"/>
      <w:r>
        <w:t>, eds. (Washington, 1955), 28-56.</w:t>
      </w:r>
    </w:p>
    <w:p w14:paraId="70650A58" w14:textId="77777777" w:rsidR="009A1CCB" w:rsidRDefault="009A1CCB" w:rsidP="009A1CCB">
      <w:pPr>
        <w:autoSpaceDE w:val="0"/>
        <w:autoSpaceDN w:val="0"/>
        <w:adjustRightInd w:val="0"/>
      </w:pPr>
      <w:r>
        <w:t xml:space="preserve">c. Wael </w:t>
      </w:r>
      <w:proofErr w:type="spellStart"/>
      <w:r>
        <w:t>Hallaq</w:t>
      </w:r>
      <w:proofErr w:type="spellEnd"/>
      <w:r>
        <w:t>, Origins and Evolution of Islamic Law (Cambridge, 2005), 8-56;</w:t>
      </w:r>
    </w:p>
    <w:p w14:paraId="6F4AB76B" w14:textId="77777777" w:rsidR="009A1CCB" w:rsidRDefault="009A1CCB" w:rsidP="009A1CCB">
      <w:pPr>
        <w:autoSpaceDE w:val="0"/>
        <w:autoSpaceDN w:val="0"/>
        <w:adjustRightInd w:val="0"/>
      </w:pPr>
      <w:r>
        <w:t xml:space="preserve">d. </w:t>
      </w:r>
      <w:proofErr w:type="spellStart"/>
      <w:r>
        <w:t>Hallaq</w:t>
      </w:r>
      <w:proofErr w:type="spellEnd"/>
      <w:r>
        <w:t>, Origins, pp. 57-121.</w:t>
      </w:r>
    </w:p>
    <w:p w14:paraId="206B81FA" w14:textId="77777777" w:rsidR="009A1CCB" w:rsidRDefault="009A1CCB" w:rsidP="009A1CCB">
      <w:pPr>
        <w:autoSpaceDE w:val="0"/>
        <w:autoSpaceDN w:val="0"/>
        <w:adjustRightInd w:val="0"/>
      </w:pPr>
      <w:r>
        <w:t xml:space="preserve">e. </w:t>
      </w:r>
      <w:proofErr w:type="spellStart"/>
      <w:r>
        <w:t>Hallaq</w:t>
      </w:r>
      <w:proofErr w:type="spellEnd"/>
      <w:r>
        <w:t>, “Groundwork of the Moral Law,” Islamic Law and Society, 16, 3-4 (2009),</w:t>
      </w:r>
    </w:p>
    <w:p w14:paraId="57662245" w14:textId="6E1822C7" w:rsidR="009A1CCB" w:rsidRDefault="009A1CCB" w:rsidP="009A1CCB">
      <w:pPr>
        <w:autoSpaceDE w:val="0"/>
        <w:autoSpaceDN w:val="0"/>
        <w:adjustRightInd w:val="0"/>
      </w:pPr>
      <w:r>
        <w:t>239-79.</w:t>
      </w:r>
    </w:p>
    <w:p w14:paraId="2EFB10C6" w14:textId="77777777" w:rsidR="009A1CCB" w:rsidRDefault="009A1CCB" w:rsidP="009A1CCB">
      <w:pPr>
        <w:autoSpaceDE w:val="0"/>
        <w:autoSpaceDN w:val="0"/>
        <w:adjustRightInd w:val="0"/>
      </w:pPr>
    </w:p>
    <w:p w14:paraId="043D91BA" w14:textId="77777777" w:rsidR="009A1CCB" w:rsidRDefault="009A1CCB" w:rsidP="009A1CCB">
      <w:pPr>
        <w:autoSpaceDE w:val="0"/>
        <w:autoSpaceDN w:val="0"/>
        <w:adjustRightInd w:val="0"/>
      </w:pPr>
      <w:r>
        <w:t>Week 3 (Jan. 30): The Question of the Religious Character of the Law; or, idealism vs.</w:t>
      </w:r>
    </w:p>
    <w:p w14:paraId="490C4C2F" w14:textId="77777777" w:rsidR="009A1CCB" w:rsidRDefault="009A1CCB" w:rsidP="009A1CCB">
      <w:pPr>
        <w:autoSpaceDE w:val="0"/>
        <w:autoSpaceDN w:val="0"/>
        <w:adjustRightInd w:val="0"/>
      </w:pPr>
      <w:r>
        <w:t>pragmatism: The Theory:</w:t>
      </w:r>
    </w:p>
    <w:p w14:paraId="77D38914" w14:textId="77777777" w:rsidR="009A1CCB" w:rsidRDefault="009A1CCB" w:rsidP="009A1CCB">
      <w:pPr>
        <w:autoSpaceDE w:val="0"/>
        <w:autoSpaceDN w:val="0"/>
        <w:adjustRightInd w:val="0"/>
      </w:pPr>
      <w:r>
        <w:t>a. Noel J. Coulson, Conflicts and Tensions in Islamic Jurisprudence (Chicago, 1969).</w:t>
      </w:r>
    </w:p>
    <w:p w14:paraId="093EB496" w14:textId="77777777" w:rsidR="009A1CCB" w:rsidRDefault="009A1CCB" w:rsidP="009A1CCB">
      <w:pPr>
        <w:autoSpaceDE w:val="0"/>
        <w:autoSpaceDN w:val="0"/>
        <w:adjustRightInd w:val="0"/>
      </w:pPr>
      <w:r>
        <w:t>b. Schacht, An Introduction to Islamic Law (Oxford, 1964), 199-211.</w:t>
      </w:r>
    </w:p>
    <w:p w14:paraId="45A29CC2" w14:textId="77777777" w:rsidR="009A1CCB" w:rsidRDefault="009A1CCB" w:rsidP="009A1CCB">
      <w:pPr>
        <w:autoSpaceDE w:val="0"/>
        <w:autoSpaceDN w:val="0"/>
        <w:adjustRightInd w:val="0"/>
      </w:pPr>
      <w:r>
        <w:t xml:space="preserve">c. </w:t>
      </w:r>
      <w:proofErr w:type="spellStart"/>
      <w:r>
        <w:t>Hallaq</w:t>
      </w:r>
      <w:proofErr w:type="spellEnd"/>
      <w:r>
        <w:t>, A History of Islamic Legal Theories (Cambridge, 1997),</w:t>
      </w:r>
    </w:p>
    <w:p w14:paraId="0A649625" w14:textId="467FD0F3" w:rsidR="009A1CCB" w:rsidRDefault="009A1CCB" w:rsidP="009A1CCB">
      <w:pPr>
        <w:autoSpaceDE w:val="0"/>
        <w:autoSpaceDN w:val="0"/>
        <w:adjustRightInd w:val="0"/>
      </w:pPr>
      <w:r>
        <w:t>36-81, 82-124.</w:t>
      </w:r>
    </w:p>
    <w:p w14:paraId="307FC522" w14:textId="77777777" w:rsidR="009A1CCB" w:rsidRDefault="009A1CCB" w:rsidP="009A1CCB">
      <w:pPr>
        <w:autoSpaceDE w:val="0"/>
        <w:autoSpaceDN w:val="0"/>
        <w:adjustRightInd w:val="0"/>
      </w:pPr>
    </w:p>
    <w:p w14:paraId="4FE0D0D9" w14:textId="77777777" w:rsidR="009A1CCB" w:rsidRDefault="009A1CCB" w:rsidP="009A1CCB">
      <w:pPr>
        <w:autoSpaceDE w:val="0"/>
        <w:autoSpaceDN w:val="0"/>
        <w:adjustRightInd w:val="0"/>
      </w:pPr>
      <w:r>
        <w:t>Week 4 (Feb. 6): The Question of the Religious Character of the Law; or, idealism vs.</w:t>
      </w:r>
    </w:p>
    <w:p w14:paraId="7EB8F2A4" w14:textId="77777777" w:rsidR="009A1CCB" w:rsidRDefault="009A1CCB" w:rsidP="009A1CCB">
      <w:pPr>
        <w:autoSpaceDE w:val="0"/>
        <w:autoSpaceDN w:val="0"/>
        <w:adjustRightInd w:val="0"/>
      </w:pPr>
      <w:r>
        <w:t>pragmatism: The Practice,</w:t>
      </w:r>
    </w:p>
    <w:p w14:paraId="1841674E" w14:textId="77777777" w:rsidR="009A1CCB" w:rsidRDefault="009A1CCB" w:rsidP="009A1CCB">
      <w:pPr>
        <w:autoSpaceDE w:val="0"/>
        <w:autoSpaceDN w:val="0"/>
        <w:adjustRightInd w:val="0"/>
      </w:pPr>
      <w:r>
        <w:t xml:space="preserve">a. Knut </w:t>
      </w:r>
      <w:proofErr w:type="spellStart"/>
      <w:r>
        <w:t>Vikør</w:t>
      </w:r>
      <w:proofErr w:type="spellEnd"/>
      <w:r>
        <w:t>, Between God and Sultan (London, 2005), 168-205.</w:t>
      </w:r>
    </w:p>
    <w:p w14:paraId="2024DA34" w14:textId="77777777" w:rsidR="009A1CCB" w:rsidRDefault="009A1CCB" w:rsidP="009A1CCB">
      <w:pPr>
        <w:autoSpaceDE w:val="0"/>
        <w:autoSpaceDN w:val="0"/>
        <w:adjustRightInd w:val="0"/>
      </w:pPr>
      <w:r>
        <w:t>b. G. El-</w:t>
      </w:r>
      <w:proofErr w:type="spellStart"/>
      <w:r>
        <w:t>Nahal</w:t>
      </w:r>
      <w:proofErr w:type="spellEnd"/>
      <w:r>
        <w:t>, The Judicial Administration of Ottoman Egypt in the 17th Century</w:t>
      </w:r>
    </w:p>
    <w:p w14:paraId="40D3BF94" w14:textId="77777777" w:rsidR="009A1CCB" w:rsidRDefault="009A1CCB" w:rsidP="009A1CCB">
      <w:pPr>
        <w:autoSpaceDE w:val="0"/>
        <w:autoSpaceDN w:val="0"/>
        <w:adjustRightInd w:val="0"/>
      </w:pPr>
      <w:r>
        <w:t>(Minneapolis, 1979), 1-73.</w:t>
      </w:r>
    </w:p>
    <w:p w14:paraId="16695D92" w14:textId="77777777" w:rsidR="009A1CCB" w:rsidRDefault="009A1CCB" w:rsidP="009A1CCB">
      <w:pPr>
        <w:autoSpaceDE w:val="0"/>
        <w:autoSpaceDN w:val="0"/>
        <w:adjustRightInd w:val="0"/>
      </w:pPr>
      <w:r>
        <w:t>c. H. Gerber, State, Society, and Law in Islam (Albany: State University of New York</w:t>
      </w:r>
    </w:p>
    <w:p w14:paraId="6337647B" w14:textId="77777777" w:rsidR="009A1CCB" w:rsidRDefault="009A1CCB" w:rsidP="009A1CCB">
      <w:pPr>
        <w:autoSpaceDE w:val="0"/>
        <w:autoSpaceDN w:val="0"/>
        <w:adjustRightInd w:val="0"/>
      </w:pPr>
      <w:r>
        <w:t>Press, 1994), 1-57, 58-112.</w:t>
      </w:r>
    </w:p>
    <w:p w14:paraId="5F16B699" w14:textId="77777777" w:rsidR="009A1CCB" w:rsidRDefault="009A1CCB" w:rsidP="009A1CCB">
      <w:pPr>
        <w:autoSpaceDE w:val="0"/>
        <w:autoSpaceDN w:val="0"/>
        <w:adjustRightInd w:val="0"/>
      </w:pPr>
      <w:r>
        <w:t xml:space="preserve">d. </w:t>
      </w:r>
      <w:proofErr w:type="spellStart"/>
      <w:r>
        <w:t>Hallaq</w:t>
      </w:r>
      <w:proofErr w:type="spellEnd"/>
      <w:r>
        <w:t xml:space="preserve">, </w:t>
      </w:r>
      <w:proofErr w:type="spellStart"/>
      <w:proofErr w:type="gramStart"/>
      <w:r>
        <w:t>Sharī‘</w:t>
      </w:r>
      <w:proofErr w:type="gramEnd"/>
      <w:r>
        <w:t>a</w:t>
      </w:r>
      <w:proofErr w:type="spellEnd"/>
      <w:r>
        <w:t>: Theory, Practice, Transformations (Cambridge: Cambridge</w:t>
      </w:r>
    </w:p>
    <w:p w14:paraId="0567E55A" w14:textId="30BA6E70" w:rsidR="009A1CCB" w:rsidRDefault="009A1CCB" w:rsidP="009A1CCB">
      <w:pPr>
        <w:autoSpaceDE w:val="0"/>
        <w:autoSpaceDN w:val="0"/>
        <w:adjustRightInd w:val="0"/>
      </w:pPr>
      <w:r>
        <w:t>University Press, 2009), 125-183.</w:t>
      </w:r>
    </w:p>
    <w:p w14:paraId="7B2B844B" w14:textId="77777777" w:rsidR="009A1CCB" w:rsidRDefault="009A1CCB" w:rsidP="009A1CCB">
      <w:pPr>
        <w:autoSpaceDE w:val="0"/>
        <w:autoSpaceDN w:val="0"/>
        <w:adjustRightInd w:val="0"/>
      </w:pPr>
    </w:p>
    <w:p w14:paraId="7DD65208" w14:textId="77777777" w:rsidR="009A1CCB" w:rsidRDefault="009A1CCB" w:rsidP="009A1CCB">
      <w:pPr>
        <w:autoSpaceDE w:val="0"/>
        <w:autoSpaceDN w:val="0"/>
        <w:adjustRightInd w:val="0"/>
      </w:pPr>
      <w:r>
        <w:t>Week 5 (Feb. 13): The Question of Legal Change:</w:t>
      </w:r>
    </w:p>
    <w:p w14:paraId="4128C682" w14:textId="77777777" w:rsidR="009A1CCB" w:rsidRDefault="009A1CCB" w:rsidP="009A1CCB">
      <w:pPr>
        <w:autoSpaceDE w:val="0"/>
        <w:autoSpaceDN w:val="0"/>
        <w:adjustRightInd w:val="0"/>
      </w:pPr>
      <w:r>
        <w:t>a. J. Schacht, Introduction to Islamic Law, 69-75.</w:t>
      </w:r>
    </w:p>
    <w:p w14:paraId="54543880" w14:textId="77777777" w:rsidR="009A1CCB" w:rsidRDefault="009A1CCB" w:rsidP="009A1CCB">
      <w:pPr>
        <w:autoSpaceDE w:val="0"/>
        <w:autoSpaceDN w:val="0"/>
        <w:adjustRightInd w:val="0"/>
      </w:pPr>
      <w:r>
        <w:t xml:space="preserve">b. </w:t>
      </w:r>
      <w:proofErr w:type="spellStart"/>
      <w:r>
        <w:t>Hallaq</w:t>
      </w:r>
      <w:proofErr w:type="spellEnd"/>
      <w:r>
        <w:t>, “Was the Gate of Ijtihad Closed? International Journal of Middle Eastern</w:t>
      </w:r>
    </w:p>
    <w:p w14:paraId="3E086715" w14:textId="77777777" w:rsidR="009A1CCB" w:rsidRDefault="009A1CCB" w:rsidP="009A1CCB">
      <w:pPr>
        <w:autoSpaceDE w:val="0"/>
        <w:autoSpaceDN w:val="0"/>
        <w:adjustRightInd w:val="0"/>
      </w:pPr>
      <w:r>
        <w:t>Studies (IJMES), 16, 1 (1984), 3-41.</w:t>
      </w:r>
    </w:p>
    <w:p w14:paraId="63676FA3" w14:textId="77777777" w:rsidR="009A1CCB" w:rsidRDefault="009A1CCB" w:rsidP="009A1CCB">
      <w:pPr>
        <w:autoSpaceDE w:val="0"/>
        <w:autoSpaceDN w:val="0"/>
        <w:adjustRightInd w:val="0"/>
      </w:pPr>
      <w:r>
        <w:t>c. Baber Johansen, “Legal Literature and the Problem of Change: The Case of the</w:t>
      </w:r>
    </w:p>
    <w:p w14:paraId="1232A658" w14:textId="77777777" w:rsidR="009A1CCB" w:rsidRDefault="009A1CCB" w:rsidP="009A1CCB">
      <w:pPr>
        <w:autoSpaceDE w:val="0"/>
        <w:autoSpaceDN w:val="0"/>
        <w:adjustRightInd w:val="0"/>
      </w:pPr>
      <w:r>
        <w:t xml:space="preserve">Land Rent,” in Ch. </w:t>
      </w:r>
      <w:proofErr w:type="spellStart"/>
      <w:r>
        <w:t>Mallat</w:t>
      </w:r>
      <w:proofErr w:type="spellEnd"/>
      <w:r>
        <w:t>, ed., Islam and Public Law: Classical and Contemporary</w:t>
      </w:r>
    </w:p>
    <w:p w14:paraId="3C24478D" w14:textId="77777777" w:rsidR="009A1CCB" w:rsidRDefault="009A1CCB" w:rsidP="009A1CCB">
      <w:pPr>
        <w:autoSpaceDE w:val="0"/>
        <w:autoSpaceDN w:val="0"/>
        <w:adjustRightInd w:val="0"/>
      </w:pPr>
      <w:r>
        <w:t>Studies (London, 1993), 29-47.</w:t>
      </w:r>
    </w:p>
    <w:p w14:paraId="56D9ADEF" w14:textId="77777777" w:rsidR="009A1CCB" w:rsidRDefault="009A1CCB" w:rsidP="009A1CCB">
      <w:pPr>
        <w:autoSpaceDE w:val="0"/>
        <w:autoSpaceDN w:val="0"/>
        <w:adjustRightInd w:val="0"/>
      </w:pPr>
      <w:r>
        <w:t xml:space="preserve">d. </w:t>
      </w:r>
      <w:proofErr w:type="spellStart"/>
      <w:r>
        <w:t>Hallaq</w:t>
      </w:r>
      <w:proofErr w:type="spellEnd"/>
      <w:r>
        <w:t>, Authority, Continuity and Change in Islamic Law (Cambridge, 2001), 166-</w:t>
      </w:r>
    </w:p>
    <w:p w14:paraId="77F28F20" w14:textId="4F7F27A2" w:rsidR="009A1CCB" w:rsidRDefault="009A1CCB" w:rsidP="009A1CCB">
      <w:pPr>
        <w:autoSpaceDE w:val="0"/>
        <w:autoSpaceDN w:val="0"/>
        <w:adjustRightInd w:val="0"/>
      </w:pPr>
      <w:r>
        <w:t>235.</w:t>
      </w:r>
    </w:p>
    <w:p w14:paraId="5C204B64" w14:textId="77777777" w:rsidR="009A1CCB" w:rsidRDefault="009A1CCB" w:rsidP="009A1CCB">
      <w:pPr>
        <w:autoSpaceDE w:val="0"/>
        <w:autoSpaceDN w:val="0"/>
        <w:adjustRightInd w:val="0"/>
      </w:pPr>
    </w:p>
    <w:p w14:paraId="2F69AEA5" w14:textId="77777777" w:rsidR="009A1CCB" w:rsidRDefault="009A1CCB" w:rsidP="009A1CCB">
      <w:pPr>
        <w:autoSpaceDE w:val="0"/>
        <w:autoSpaceDN w:val="0"/>
        <w:adjustRightInd w:val="0"/>
      </w:pPr>
      <w:r>
        <w:t>Week 6 (Feb. 20): The Question of Women in the Law:</w:t>
      </w:r>
    </w:p>
    <w:p w14:paraId="045DB8B3" w14:textId="77777777" w:rsidR="009A1CCB" w:rsidRDefault="009A1CCB" w:rsidP="009A1CCB">
      <w:pPr>
        <w:autoSpaceDE w:val="0"/>
        <w:autoSpaceDN w:val="0"/>
        <w:adjustRightInd w:val="0"/>
      </w:pPr>
      <w:r>
        <w:t xml:space="preserve">a. </w:t>
      </w:r>
      <w:r>
        <w:rPr>
          <w:sz w:val="23"/>
          <w:szCs w:val="23"/>
        </w:rPr>
        <w:t xml:space="preserve">M. </w:t>
      </w:r>
      <w:r>
        <w:t>Meriwether, “Women and Waqf Revisited: The Case of Aleppo, 1770-</w:t>
      </w:r>
    </w:p>
    <w:p w14:paraId="1A836CD1" w14:textId="77777777" w:rsidR="009A1CCB" w:rsidRDefault="009A1CCB" w:rsidP="009A1CCB">
      <w:pPr>
        <w:autoSpaceDE w:val="0"/>
        <w:autoSpaceDN w:val="0"/>
        <w:adjustRightInd w:val="0"/>
      </w:pPr>
      <w:r>
        <w:t xml:space="preserve">1840,” in Women in the Ottoman Empire, ed., M. </w:t>
      </w:r>
      <w:proofErr w:type="spellStart"/>
      <w:r>
        <w:t>Zelfi</w:t>
      </w:r>
      <w:proofErr w:type="spellEnd"/>
      <w:r>
        <w:t xml:space="preserve"> (Leiden, 1997), 128-52;</w:t>
      </w:r>
    </w:p>
    <w:p w14:paraId="3EF253D6" w14:textId="77777777" w:rsidR="009A1CCB" w:rsidRDefault="009A1CCB" w:rsidP="009A1CCB">
      <w:pPr>
        <w:autoSpaceDE w:val="0"/>
        <w:autoSpaceDN w:val="0"/>
        <w:adjustRightInd w:val="0"/>
      </w:pPr>
      <w:r>
        <w:t>b. H. Gerber, “Social and Economic Position of Women in an Ottoman City,</w:t>
      </w:r>
    </w:p>
    <w:p w14:paraId="7186FE46" w14:textId="77777777" w:rsidR="009A1CCB" w:rsidRDefault="009A1CCB" w:rsidP="009A1CCB">
      <w:pPr>
        <w:autoSpaceDE w:val="0"/>
        <w:autoSpaceDN w:val="0"/>
        <w:adjustRightInd w:val="0"/>
      </w:pPr>
      <w:r>
        <w:t>Bursa, 1600-1700,” International Journal of Middle East Studies, 12 (1980), 231-44.</w:t>
      </w:r>
    </w:p>
    <w:p w14:paraId="62D5B2D9" w14:textId="77777777" w:rsidR="009A1CCB" w:rsidRDefault="009A1CCB" w:rsidP="009A1CCB">
      <w:pPr>
        <w:autoSpaceDE w:val="0"/>
        <w:autoSpaceDN w:val="0"/>
        <w:adjustRightInd w:val="0"/>
      </w:pPr>
      <w:r>
        <w:t>c. J. Tucker, “Muftis and Matrimony,” Islamic Law and Society, 1, 3 (1994), 265-99.</w:t>
      </w:r>
    </w:p>
    <w:p w14:paraId="3B3B0C91" w14:textId="77777777" w:rsidR="009A1CCB" w:rsidRDefault="009A1CCB" w:rsidP="009A1CCB">
      <w:pPr>
        <w:autoSpaceDE w:val="0"/>
        <w:autoSpaceDN w:val="0"/>
        <w:adjustRightInd w:val="0"/>
      </w:pPr>
      <w:r>
        <w:t xml:space="preserve">d. F. </w:t>
      </w:r>
      <w:proofErr w:type="spellStart"/>
      <w:r>
        <w:t>Zarinebaf</w:t>
      </w:r>
      <w:proofErr w:type="spellEnd"/>
      <w:r>
        <w:t>, Crime and Punishment in Istanbul (Berkeley, 2010), 86-111.</w:t>
      </w:r>
    </w:p>
    <w:p w14:paraId="635DF96E" w14:textId="4219772E" w:rsidR="009A1CCB" w:rsidRDefault="009A1CCB" w:rsidP="009A1CCB">
      <w:pPr>
        <w:autoSpaceDE w:val="0"/>
        <w:autoSpaceDN w:val="0"/>
        <w:adjustRightInd w:val="0"/>
      </w:pPr>
      <w:r>
        <w:t xml:space="preserve">e. Elyse </w:t>
      </w:r>
      <w:proofErr w:type="spellStart"/>
      <w:r>
        <w:t>Semerdjian</w:t>
      </w:r>
      <w:proofErr w:type="spellEnd"/>
      <w:r>
        <w:t>, “Off the Straight Path” (Syracuse, 2008), 3-93.</w:t>
      </w:r>
    </w:p>
    <w:p w14:paraId="65FE0084" w14:textId="77777777" w:rsidR="009A1CCB" w:rsidRDefault="009A1CCB" w:rsidP="009A1CCB">
      <w:pPr>
        <w:autoSpaceDE w:val="0"/>
        <w:autoSpaceDN w:val="0"/>
        <w:adjustRightInd w:val="0"/>
      </w:pPr>
    </w:p>
    <w:p w14:paraId="2736DA3D" w14:textId="77777777" w:rsidR="009A1CCB" w:rsidRDefault="009A1CCB" w:rsidP="009A1CCB">
      <w:pPr>
        <w:autoSpaceDE w:val="0"/>
        <w:autoSpaceDN w:val="0"/>
        <w:adjustRightInd w:val="0"/>
      </w:pPr>
      <w:r>
        <w:t>Week 7 (Feb. 27): The Question of Women and Legal Modernity</w:t>
      </w:r>
    </w:p>
    <w:p w14:paraId="7E5F1180" w14:textId="77777777" w:rsidR="009A1CCB" w:rsidRDefault="009A1CCB" w:rsidP="009A1CCB">
      <w:pPr>
        <w:autoSpaceDE w:val="0"/>
        <w:autoSpaceDN w:val="0"/>
        <w:adjustRightInd w:val="0"/>
      </w:pPr>
      <w:r>
        <w:t xml:space="preserve">a. Iris </w:t>
      </w:r>
      <w:proofErr w:type="spellStart"/>
      <w:r>
        <w:t>Agmon</w:t>
      </w:r>
      <w:proofErr w:type="spellEnd"/>
      <w:r>
        <w:t>, Family and Court: Legal Culture and Modernity in Late Ottoman</w:t>
      </w:r>
    </w:p>
    <w:p w14:paraId="202F564F" w14:textId="77777777" w:rsidR="009A1CCB" w:rsidRDefault="009A1CCB" w:rsidP="009A1CCB">
      <w:pPr>
        <w:autoSpaceDE w:val="0"/>
        <w:autoSpaceDN w:val="0"/>
        <w:adjustRightInd w:val="0"/>
      </w:pPr>
      <w:r>
        <w:t>Palestine (Syracuse: University Press, 2006), 3-57, 129-67, 199-238.</w:t>
      </w:r>
    </w:p>
    <w:p w14:paraId="530EE373" w14:textId="77777777" w:rsidR="009A1CCB" w:rsidRDefault="009A1CCB" w:rsidP="009A1CCB">
      <w:pPr>
        <w:autoSpaceDE w:val="0"/>
        <w:autoSpaceDN w:val="0"/>
        <w:adjustRightInd w:val="0"/>
      </w:pPr>
      <w:r>
        <w:t xml:space="preserve">b. K. </w:t>
      </w:r>
      <w:proofErr w:type="spellStart"/>
      <w:r>
        <w:t>Cuno</w:t>
      </w:r>
      <w:proofErr w:type="spellEnd"/>
      <w:r>
        <w:t>, Modernizing Marriage (Syracuse: The University Press, 2015), 185-</w:t>
      </w:r>
    </w:p>
    <w:p w14:paraId="7D3888F1" w14:textId="5DF9177D" w:rsidR="009A1CCB" w:rsidRDefault="009A1CCB" w:rsidP="009A1CCB">
      <w:pPr>
        <w:autoSpaceDE w:val="0"/>
        <w:autoSpaceDN w:val="0"/>
        <w:adjustRightInd w:val="0"/>
      </w:pPr>
      <w:r>
        <w:t>204.</w:t>
      </w:r>
    </w:p>
    <w:p w14:paraId="38070049" w14:textId="77777777" w:rsidR="009A1CCB" w:rsidRDefault="009A1CCB" w:rsidP="009A1CCB">
      <w:pPr>
        <w:autoSpaceDE w:val="0"/>
        <w:autoSpaceDN w:val="0"/>
        <w:adjustRightInd w:val="0"/>
      </w:pPr>
    </w:p>
    <w:p w14:paraId="7CEA8167" w14:textId="77777777" w:rsidR="009A1CCB" w:rsidRDefault="009A1CCB" w:rsidP="009A1CCB">
      <w:pPr>
        <w:autoSpaceDE w:val="0"/>
        <w:autoSpaceDN w:val="0"/>
        <w:adjustRightInd w:val="0"/>
      </w:pPr>
      <w:r>
        <w:t xml:space="preserve">Week 8 (March 6): The Question of Minorities under the </w:t>
      </w:r>
      <w:proofErr w:type="spellStart"/>
      <w:proofErr w:type="gramStart"/>
      <w:r>
        <w:t>Shari‘</w:t>
      </w:r>
      <w:proofErr w:type="gramEnd"/>
      <w:r>
        <w:t>a</w:t>
      </w:r>
      <w:proofErr w:type="spellEnd"/>
    </w:p>
    <w:p w14:paraId="4B73565C" w14:textId="77777777" w:rsidR="009A1CCB" w:rsidRDefault="009A1CCB" w:rsidP="009A1CCB">
      <w:pPr>
        <w:autoSpaceDE w:val="0"/>
        <w:autoSpaceDN w:val="0"/>
        <w:adjustRightInd w:val="0"/>
      </w:pPr>
      <w:r>
        <w:t xml:space="preserve">a. </w:t>
      </w:r>
      <w:proofErr w:type="spellStart"/>
      <w:r>
        <w:t>Anver</w:t>
      </w:r>
      <w:proofErr w:type="spellEnd"/>
      <w:r>
        <w:t xml:space="preserve"> </w:t>
      </w:r>
      <w:proofErr w:type="spellStart"/>
      <w:r>
        <w:t>Emon</w:t>
      </w:r>
      <w:proofErr w:type="spellEnd"/>
      <w:r>
        <w:t>, Religious Pluralism and Islamic Law (Oxford: Oxford University</w:t>
      </w:r>
    </w:p>
    <w:p w14:paraId="22C4F0B3" w14:textId="251EAF7C" w:rsidR="009A1CCB" w:rsidRDefault="009A1CCB" w:rsidP="009A1CCB">
      <w:pPr>
        <w:autoSpaceDE w:val="0"/>
        <w:autoSpaceDN w:val="0"/>
        <w:adjustRightInd w:val="0"/>
      </w:pPr>
      <w:r>
        <w:t>Press, 2012), 33-94, 95-164.</w:t>
      </w:r>
    </w:p>
    <w:p w14:paraId="253EF24E" w14:textId="77777777" w:rsidR="009A1CCB" w:rsidRDefault="009A1CCB" w:rsidP="009A1CCB">
      <w:pPr>
        <w:autoSpaceDE w:val="0"/>
        <w:autoSpaceDN w:val="0"/>
        <w:adjustRightInd w:val="0"/>
      </w:pPr>
    </w:p>
    <w:p w14:paraId="7852BE5E" w14:textId="5C66C754" w:rsidR="009A1CCB" w:rsidRDefault="009A1CCB" w:rsidP="009A1CCB">
      <w:pPr>
        <w:autoSpaceDE w:val="0"/>
        <w:autoSpaceDN w:val="0"/>
        <w:adjustRightInd w:val="0"/>
      </w:pPr>
      <w:r>
        <w:t>Week of March 13: No Class.</w:t>
      </w:r>
    </w:p>
    <w:p w14:paraId="6DF9D9A0" w14:textId="77777777" w:rsidR="009A1CCB" w:rsidRDefault="009A1CCB" w:rsidP="009A1CCB">
      <w:pPr>
        <w:autoSpaceDE w:val="0"/>
        <w:autoSpaceDN w:val="0"/>
        <w:adjustRightInd w:val="0"/>
      </w:pPr>
    </w:p>
    <w:p w14:paraId="195E16F5" w14:textId="7AE24E08" w:rsidR="009A1CCB" w:rsidRDefault="009A1CCB" w:rsidP="009A1CCB">
      <w:pPr>
        <w:autoSpaceDE w:val="0"/>
        <w:autoSpaceDN w:val="0"/>
        <w:adjustRightInd w:val="0"/>
      </w:pPr>
      <w:r>
        <w:t>Week 9 (March 20): Review</w:t>
      </w:r>
    </w:p>
    <w:p w14:paraId="56D895D8" w14:textId="77777777" w:rsidR="009A1CCB" w:rsidRDefault="009A1CCB" w:rsidP="009A1CCB">
      <w:pPr>
        <w:autoSpaceDE w:val="0"/>
        <w:autoSpaceDN w:val="0"/>
        <w:adjustRightInd w:val="0"/>
      </w:pPr>
    </w:p>
    <w:p w14:paraId="49A383C1" w14:textId="77777777" w:rsidR="009A1CCB" w:rsidRDefault="009A1CCB" w:rsidP="009A1CCB">
      <w:pPr>
        <w:autoSpaceDE w:val="0"/>
        <w:autoSpaceDN w:val="0"/>
        <w:adjustRightInd w:val="0"/>
      </w:pPr>
      <w:r>
        <w:t>Week 10 (March 27): The Question of the State, I:</w:t>
      </w:r>
    </w:p>
    <w:p w14:paraId="21025948" w14:textId="77777777" w:rsidR="009A1CCB" w:rsidRDefault="009A1CCB" w:rsidP="009A1CCB">
      <w:pPr>
        <w:autoSpaceDE w:val="0"/>
        <w:autoSpaceDN w:val="0"/>
        <w:adjustRightInd w:val="0"/>
      </w:pPr>
      <w:r>
        <w:t>a. Sherman Jackson, Islamic Law and the State (Leiden, 1996), xiii-xlii, 185-229.</w:t>
      </w:r>
    </w:p>
    <w:p w14:paraId="7227F4A6" w14:textId="77777777" w:rsidR="009A1CCB" w:rsidRDefault="009A1CCB" w:rsidP="009A1CCB">
      <w:pPr>
        <w:autoSpaceDE w:val="0"/>
        <w:autoSpaceDN w:val="0"/>
        <w:adjustRightInd w:val="0"/>
      </w:pPr>
      <w:r>
        <w:lastRenderedPageBreak/>
        <w:t xml:space="preserve">b. Roxanne </w:t>
      </w:r>
      <w:proofErr w:type="spellStart"/>
      <w:r>
        <w:t>Euben</w:t>
      </w:r>
      <w:proofErr w:type="spellEnd"/>
      <w:r>
        <w:t xml:space="preserve"> and M. Q. Zaman, eds, Princeton Readings in Islamist Thought</w:t>
      </w:r>
    </w:p>
    <w:p w14:paraId="01E167D0" w14:textId="77777777" w:rsidR="009A1CCB" w:rsidRDefault="009A1CCB" w:rsidP="009A1CCB">
      <w:pPr>
        <w:autoSpaceDE w:val="0"/>
        <w:autoSpaceDN w:val="0"/>
        <w:adjustRightInd w:val="0"/>
      </w:pPr>
      <w:r>
        <w:t>(Princeton, 2009), 155-80, 207-23, 230-45.</w:t>
      </w:r>
    </w:p>
    <w:p w14:paraId="3F58526E" w14:textId="77777777" w:rsidR="009A1CCB" w:rsidRDefault="009A1CCB" w:rsidP="009A1CCB">
      <w:pPr>
        <w:autoSpaceDE w:val="0"/>
        <w:autoSpaceDN w:val="0"/>
        <w:adjustRightInd w:val="0"/>
      </w:pPr>
      <w:r>
        <w:t xml:space="preserve">c. M. Q. Zaman, “Pakistan: </w:t>
      </w:r>
      <w:proofErr w:type="spellStart"/>
      <w:proofErr w:type="gramStart"/>
      <w:r>
        <w:t>Shari‘</w:t>
      </w:r>
      <w:proofErr w:type="gramEnd"/>
      <w:r>
        <w:t>a</w:t>
      </w:r>
      <w:proofErr w:type="spellEnd"/>
      <w:r>
        <w:t xml:space="preserve"> and the State,” in </w:t>
      </w:r>
      <w:proofErr w:type="spellStart"/>
      <w:r>
        <w:t>Shari‘a</w:t>
      </w:r>
      <w:proofErr w:type="spellEnd"/>
      <w:r>
        <w:t xml:space="preserve"> Politics, ed. R.</w:t>
      </w:r>
    </w:p>
    <w:p w14:paraId="3A5F24D3" w14:textId="4DF972EF" w:rsidR="009A1CCB" w:rsidRDefault="009A1CCB" w:rsidP="009A1CCB">
      <w:pPr>
        <w:autoSpaceDE w:val="0"/>
        <w:autoSpaceDN w:val="0"/>
        <w:adjustRightInd w:val="0"/>
      </w:pPr>
      <w:r>
        <w:t>Hefner (Bloomington, 2011), 207-36.</w:t>
      </w:r>
    </w:p>
    <w:p w14:paraId="75BB1123" w14:textId="77777777" w:rsidR="009A1CCB" w:rsidRDefault="009A1CCB" w:rsidP="009A1CCB">
      <w:pPr>
        <w:autoSpaceDE w:val="0"/>
        <w:autoSpaceDN w:val="0"/>
        <w:adjustRightInd w:val="0"/>
      </w:pPr>
    </w:p>
    <w:p w14:paraId="7FD20CCC" w14:textId="61E1D790" w:rsidR="009A1CCB" w:rsidRDefault="009A1CCB" w:rsidP="009A1CCB">
      <w:pPr>
        <w:autoSpaceDE w:val="0"/>
        <w:autoSpaceDN w:val="0"/>
        <w:adjustRightInd w:val="0"/>
      </w:pPr>
      <w:r>
        <w:t>Week 11 (April 3): The Question of the State, II:</w:t>
      </w:r>
    </w:p>
    <w:p w14:paraId="3841FCB3" w14:textId="77777777" w:rsidR="009A1CCB" w:rsidRDefault="009A1CCB" w:rsidP="009A1CCB">
      <w:pPr>
        <w:autoSpaceDE w:val="0"/>
        <w:autoSpaceDN w:val="0"/>
        <w:adjustRightInd w:val="0"/>
      </w:pPr>
      <w:r>
        <w:t xml:space="preserve">a. </w:t>
      </w:r>
      <w:proofErr w:type="spellStart"/>
      <w:r>
        <w:t>Hallaq</w:t>
      </w:r>
      <w:proofErr w:type="spellEnd"/>
      <w:r>
        <w:t>, The Impossible State (New York: Columbia University Press, 2012), 1-97,</w:t>
      </w:r>
    </w:p>
    <w:p w14:paraId="56882BFA" w14:textId="2CCCF5FD" w:rsidR="009A1CCB" w:rsidRDefault="009A1CCB" w:rsidP="009A1CCB">
      <w:pPr>
        <w:autoSpaceDE w:val="0"/>
        <w:autoSpaceDN w:val="0"/>
        <w:adjustRightInd w:val="0"/>
      </w:pPr>
      <w:r>
        <w:t>98-170.</w:t>
      </w:r>
    </w:p>
    <w:p w14:paraId="4E05BCF5" w14:textId="77777777" w:rsidR="009A1CCB" w:rsidRDefault="009A1CCB" w:rsidP="009A1CCB">
      <w:pPr>
        <w:autoSpaceDE w:val="0"/>
        <w:autoSpaceDN w:val="0"/>
        <w:adjustRightInd w:val="0"/>
      </w:pPr>
    </w:p>
    <w:p w14:paraId="410C0491" w14:textId="77777777" w:rsidR="009A1CCB" w:rsidRDefault="009A1CCB" w:rsidP="009A1CCB">
      <w:pPr>
        <w:autoSpaceDE w:val="0"/>
        <w:autoSpaceDN w:val="0"/>
        <w:adjustRightInd w:val="0"/>
      </w:pPr>
      <w:r>
        <w:t>Week 12 (April 10): The Questions of Legal Reform and Legal Orientalism, I:</w:t>
      </w:r>
    </w:p>
    <w:p w14:paraId="0517F3FD" w14:textId="77777777" w:rsidR="009A1CCB" w:rsidRDefault="009A1CCB" w:rsidP="009A1CCB">
      <w:pPr>
        <w:autoSpaceDE w:val="0"/>
        <w:autoSpaceDN w:val="0"/>
        <w:adjustRightInd w:val="0"/>
      </w:pPr>
      <w:r>
        <w:t>a. David Powers, “Orientalism, Colonialism, and Legal History: The Attack on</w:t>
      </w:r>
    </w:p>
    <w:p w14:paraId="02F7E510" w14:textId="77777777" w:rsidR="009A1CCB" w:rsidRDefault="009A1CCB" w:rsidP="009A1CCB">
      <w:pPr>
        <w:autoSpaceDE w:val="0"/>
        <w:autoSpaceDN w:val="0"/>
        <w:adjustRightInd w:val="0"/>
      </w:pPr>
      <w:r>
        <w:t>Muslim Family Endowments in Algeria and India,” Comparative Studies in</w:t>
      </w:r>
    </w:p>
    <w:p w14:paraId="7B1B5A78" w14:textId="77777777" w:rsidR="009A1CCB" w:rsidRDefault="009A1CCB" w:rsidP="009A1CCB">
      <w:pPr>
        <w:autoSpaceDE w:val="0"/>
        <w:autoSpaceDN w:val="0"/>
        <w:adjustRightInd w:val="0"/>
      </w:pPr>
      <w:r>
        <w:t>Society and History, 31, 3 (1989), 535-71.</w:t>
      </w:r>
    </w:p>
    <w:p w14:paraId="636AAE9F" w14:textId="77777777" w:rsidR="009A1CCB" w:rsidRDefault="009A1CCB" w:rsidP="009A1CCB">
      <w:pPr>
        <w:autoSpaceDE w:val="0"/>
        <w:autoSpaceDN w:val="0"/>
        <w:adjustRightInd w:val="0"/>
      </w:pPr>
      <w:r>
        <w:t>b. Moors, A. “Debating Islamic Family Law: Legal Texts and Social Practices,”</w:t>
      </w:r>
    </w:p>
    <w:p w14:paraId="0EB9F271" w14:textId="77777777" w:rsidR="009A1CCB" w:rsidRDefault="009A1CCB" w:rsidP="009A1CCB">
      <w:pPr>
        <w:autoSpaceDE w:val="0"/>
        <w:autoSpaceDN w:val="0"/>
        <w:adjustRightInd w:val="0"/>
      </w:pPr>
      <w:r>
        <w:t>in Social History of Women and Gender in the Modern Middle East, ed. M.</w:t>
      </w:r>
    </w:p>
    <w:p w14:paraId="0E968304" w14:textId="77777777" w:rsidR="009A1CCB" w:rsidRDefault="009A1CCB" w:rsidP="009A1CCB">
      <w:pPr>
        <w:autoSpaceDE w:val="0"/>
        <w:autoSpaceDN w:val="0"/>
        <w:adjustRightInd w:val="0"/>
      </w:pPr>
      <w:r>
        <w:t>Meriwether and J. Tucker (Oxford, 1999), 141-72.</w:t>
      </w:r>
    </w:p>
    <w:p w14:paraId="3F2CD924" w14:textId="77777777" w:rsidR="009A1CCB" w:rsidRDefault="009A1CCB" w:rsidP="009A1CCB">
      <w:pPr>
        <w:autoSpaceDE w:val="0"/>
        <w:autoSpaceDN w:val="0"/>
        <w:adjustRightInd w:val="0"/>
      </w:pPr>
      <w:r>
        <w:t>c. Tucker, “Revisiting Reform: Women and the Ottoman Law of Family Rights,</w:t>
      </w:r>
    </w:p>
    <w:p w14:paraId="369305C2" w14:textId="77777777" w:rsidR="009A1CCB" w:rsidRDefault="009A1CCB" w:rsidP="009A1CCB">
      <w:pPr>
        <w:autoSpaceDE w:val="0"/>
        <w:autoSpaceDN w:val="0"/>
        <w:adjustRightInd w:val="0"/>
      </w:pPr>
      <w:r>
        <w:t>1917,” Arab Studies Journal, vol. 4, 2 (1996), 4-16.</w:t>
      </w:r>
    </w:p>
    <w:p w14:paraId="4150A87C" w14:textId="77777777" w:rsidR="009A1CCB" w:rsidRDefault="009A1CCB" w:rsidP="009A1CCB">
      <w:pPr>
        <w:autoSpaceDE w:val="0"/>
        <w:autoSpaceDN w:val="0"/>
        <w:adjustRightInd w:val="0"/>
      </w:pPr>
      <w:r>
        <w:t xml:space="preserve">d. Amira </w:t>
      </w:r>
      <w:proofErr w:type="spellStart"/>
      <w:r>
        <w:t>Sonbol</w:t>
      </w:r>
      <w:proofErr w:type="spellEnd"/>
      <w:r>
        <w:t>, “Muslim Women and Legal Reform: The Case of Jordan and</w:t>
      </w:r>
    </w:p>
    <w:p w14:paraId="4E5C820D" w14:textId="77777777" w:rsidR="009A1CCB" w:rsidRDefault="009A1CCB" w:rsidP="009A1CCB">
      <w:pPr>
        <w:autoSpaceDE w:val="0"/>
        <w:autoSpaceDN w:val="0"/>
        <w:adjustRightInd w:val="0"/>
      </w:pPr>
      <w:r>
        <w:t xml:space="preserve">Women’s Work,” in Yvonne Y. Haddad and B. </w:t>
      </w:r>
      <w:proofErr w:type="spellStart"/>
      <w:r>
        <w:t>Stowasser</w:t>
      </w:r>
      <w:proofErr w:type="spellEnd"/>
      <w:r>
        <w:t>, eds., Islamic Law</w:t>
      </w:r>
    </w:p>
    <w:p w14:paraId="4DF600DE" w14:textId="77777777" w:rsidR="009A1CCB" w:rsidRDefault="009A1CCB" w:rsidP="009A1CCB">
      <w:pPr>
        <w:autoSpaceDE w:val="0"/>
        <w:autoSpaceDN w:val="0"/>
        <w:adjustRightInd w:val="0"/>
      </w:pPr>
      <w:r>
        <w:t>and the Challenges of Modernity (Walnut Creek, 2004), 213-30.</w:t>
      </w:r>
    </w:p>
    <w:p w14:paraId="718C1DCF" w14:textId="77777777" w:rsidR="009A1CCB" w:rsidRDefault="009A1CCB" w:rsidP="009A1CCB">
      <w:pPr>
        <w:autoSpaceDE w:val="0"/>
        <w:autoSpaceDN w:val="0"/>
        <w:adjustRightInd w:val="0"/>
      </w:pPr>
      <w:r>
        <w:t xml:space="preserve">e. Scott A. </w:t>
      </w:r>
      <w:proofErr w:type="spellStart"/>
      <w:r>
        <w:t>Kugle</w:t>
      </w:r>
      <w:proofErr w:type="spellEnd"/>
      <w:r>
        <w:t>, “Framed, Blamed Renamed: The Recasting of Islamic</w:t>
      </w:r>
    </w:p>
    <w:p w14:paraId="2760943F" w14:textId="77777777" w:rsidR="009A1CCB" w:rsidRDefault="009A1CCB" w:rsidP="009A1CCB">
      <w:pPr>
        <w:autoSpaceDE w:val="0"/>
        <w:autoSpaceDN w:val="0"/>
        <w:adjustRightInd w:val="0"/>
      </w:pPr>
      <w:r>
        <w:t>Jurisprudence in Colonial South Asia,” Modern Asian Studies, 35, 2 (2001), 257-</w:t>
      </w:r>
    </w:p>
    <w:p w14:paraId="3F240D14" w14:textId="30179943" w:rsidR="009A1CCB" w:rsidRDefault="009A1CCB" w:rsidP="009A1CCB">
      <w:pPr>
        <w:autoSpaceDE w:val="0"/>
        <w:autoSpaceDN w:val="0"/>
        <w:adjustRightInd w:val="0"/>
      </w:pPr>
      <w:r>
        <w:t>313.</w:t>
      </w:r>
    </w:p>
    <w:p w14:paraId="145F730A" w14:textId="77777777" w:rsidR="009A1CCB" w:rsidRDefault="009A1CCB" w:rsidP="009A1CCB">
      <w:pPr>
        <w:autoSpaceDE w:val="0"/>
        <w:autoSpaceDN w:val="0"/>
        <w:adjustRightInd w:val="0"/>
      </w:pPr>
    </w:p>
    <w:p w14:paraId="65168A16" w14:textId="77777777" w:rsidR="009A1CCB" w:rsidRDefault="009A1CCB" w:rsidP="009A1CCB">
      <w:pPr>
        <w:autoSpaceDE w:val="0"/>
        <w:autoSpaceDN w:val="0"/>
        <w:adjustRightInd w:val="0"/>
      </w:pPr>
      <w:r>
        <w:t>Week 13 (April 17): The Questions of Legal Reform and Legal Orientalism, II:</w:t>
      </w:r>
    </w:p>
    <w:p w14:paraId="2CBC5552" w14:textId="77777777" w:rsidR="009A1CCB" w:rsidRDefault="009A1CCB" w:rsidP="009A1CCB">
      <w:pPr>
        <w:autoSpaceDE w:val="0"/>
        <w:autoSpaceDN w:val="0"/>
        <w:adjustRightInd w:val="0"/>
      </w:pPr>
      <w:r>
        <w:t>a. Strawson, “Islamic Law and English Texts,” Law and Critique, 6, 1 (1995), 21-38.</w:t>
      </w:r>
    </w:p>
    <w:p w14:paraId="5021F0C5" w14:textId="77777777" w:rsidR="009A1CCB" w:rsidRDefault="009A1CCB" w:rsidP="009A1CCB">
      <w:pPr>
        <w:autoSpaceDE w:val="0"/>
        <w:autoSpaceDN w:val="0"/>
        <w:adjustRightInd w:val="0"/>
      </w:pPr>
      <w:r>
        <w:t xml:space="preserve">b. </w:t>
      </w:r>
      <w:proofErr w:type="spellStart"/>
      <w:r>
        <w:t>Hallaq</w:t>
      </w:r>
      <w:proofErr w:type="spellEnd"/>
      <w:r>
        <w:t xml:space="preserve">, </w:t>
      </w:r>
      <w:proofErr w:type="spellStart"/>
      <w:proofErr w:type="gramStart"/>
      <w:r>
        <w:t>Shari‘</w:t>
      </w:r>
      <w:proofErr w:type="gramEnd"/>
      <w:r>
        <w:t>a</w:t>
      </w:r>
      <w:proofErr w:type="spellEnd"/>
      <w:r>
        <w:t>, 371-442, 443-499.</w:t>
      </w:r>
    </w:p>
    <w:p w14:paraId="411EA86F" w14:textId="77777777" w:rsidR="009A1CCB" w:rsidRDefault="009A1CCB" w:rsidP="009A1CCB">
      <w:pPr>
        <w:autoSpaceDE w:val="0"/>
        <w:autoSpaceDN w:val="0"/>
        <w:adjustRightInd w:val="0"/>
      </w:pPr>
      <w:r>
        <w:t xml:space="preserve">c. </w:t>
      </w:r>
      <w:proofErr w:type="spellStart"/>
      <w:r>
        <w:t>Hallaq</w:t>
      </w:r>
      <w:proofErr w:type="spellEnd"/>
      <w:r>
        <w:t>, “On Orientalism, Self-Consciousness and History,” Islamic Law and</w:t>
      </w:r>
    </w:p>
    <w:p w14:paraId="50306F42" w14:textId="77777777" w:rsidR="009A1CCB" w:rsidRDefault="009A1CCB" w:rsidP="009A1CCB">
      <w:pPr>
        <w:autoSpaceDE w:val="0"/>
        <w:autoSpaceDN w:val="0"/>
        <w:adjustRightInd w:val="0"/>
      </w:pPr>
      <w:r>
        <w:t>Society, 18 (2011), 387-439 (Optional, and background: D.S. Powers, “Wael B.</w:t>
      </w:r>
    </w:p>
    <w:p w14:paraId="6D291502" w14:textId="77777777" w:rsidR="009A1CCB" w:rsidRDefault="009A1CCB" w:rsidP="009A1CCB">
      <w:pPr>
        <w:autoSpaceDE w:val="0"/>
        <w:autoSpaceDN w:val="0"/>
        <w:adjustRightInd w:val="0"/>
      </w:pPr>
      <w:proofErr w:type="spellStart"/>
      <w:r>
        <w:t>Hallaq</w:t>
      </w:r>
      <w:proofErr w:type="spellEnd"/>
      <w:r>
        <w:t xml:space="preserve"> on the Origins of Islamic Law: A Review Essay,” Islamic Law and Society,</w:t>
      </w:r>
    </w:p>
    <w:p w14:paraId="5C17EC5B" w14:textId="4D2ED8DF" w:rsidR="009A1CCB" w:rsidRDefault="009A1CCB" w:rsidP="009A1CCB">
      <w:pPr>
        <w:autoSpaceDE w:val="0"/>
        <w:autoSpaceDN w:val="0"/>
        <w:adjustRightInd w:val="0"/>
      </w:pPr>
      <w:r>
        <w:t>17 (2010), 126-57.</w:t>
      </w:r>
    </w:p>
    <w:p w14:paraId="1942C2FF" w14:textId="77777777" w:rsidR="009A1CCB" w:rsidRDefault="009A1CCB" w:rsidP="009A1CCB">
      <w:pPr>
        <w:autoSpaceDE w:val="0"/>
        <w:autoSpaceDN w:val="0"/>
        <w:adjustRightInd w:val="0"/>
      </w:pPr>
    </w:p>
    <w:p w14:paraId="59403F18" w14:textId="1CD33800" w:rsidR="009A1CCB" w:rsidRDefault="009A1CCB" w:rsidP="009A1CCB">
      <w:r>
        <w:t>Week 14 (April 24): Synthesis and Final Conclusions.</w:t>
      </w:r>
    </w:p>
    <w:sectPr w:rsidR="009A1CCB" w:rsidSect="00520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CB"/>
    <w:rsid w:val="00520BBF"/>
    <w:rsid w:val="009A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44F33"/>
  <w15:chartTrackingRefBased/>
  <w15:docId w15:val="{A9E4413C-86FC-094F-9C94-85E0DAB6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C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1418</Words>
  <Characters>8087</Characters>
  <Application>Microsoft Office Word</Application>
  <DocSecurity>0</DocSecurity>
  <Lines>67</Lines>
  <Paragraphs>18</Paragraphs>
  <ScaleCrop>false</ScaleCrop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malak</dc:creator>
  <cp:keywords/>
  <dc:description/>
  <cp:lastModifiedBy>karim malak</cp:lastModifiedBy>
  <cp:revision>1</cp:revision>
  <dcterms:created xsi:type="dcterms:W3CDTF">2020-07-23T18:54:00Z</dcterms:created>
  <dcterms:modified xsi:type="dcterms:W3CDTF">2020-07-23T18:58:00Z</dcterms:modified>
</cp:coreProperties>
</file>